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textAlignment w:val="baseline"/>
        <w:rPr>
          <w:rFonts w:ascii="Segoe UI" w:hAnsi="Segoe UI" w:cs="Segoe UI"/>
          <w:sz w:val="18"/>
          <w:szCs w:val="18"/>
          <w:lang w:eastAsia="ru-RU"/>
        </w:rPr>
      </w:pPr>
      <w:r>
        <w:rPr>
          <w:rFonts w:cs="Segoe UI" w:ascii="Segoe UI" w:hAnsi="Segoe UI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textAlignment w:val="baseline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eastAsia="Times New Roman" w:cs="Segoe UI" w:ascii="Segoe UI" w:hAnsi="Segoe UI"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Министерство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государственное бюджетное учреждение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OLE_LINK1"/>
      <w:r>
        <w:rPr>
          <w:rFonts w:ascii="Times New Roman" w:hAnsi="Times New Roman"/>
          <w:b/>
          <w:sz w:val="24"/>
          <w:szCs w:val="24"/>
          <w:lang w:eastAsia="ru-RU"/>
        </w:rPr>
        <w:t>«Светлоградский историко-краеведческий музей имени И.М.Солодилова»</w:t>
      </w:r>
      <w:bookmarkEnd w:id="0"/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356530 Ставропольский край, г. Светлоград, ул. Ленина д.40.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Style w:val="normaltextrun"/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Тел./факс (86547) 4-24-33, 8-903-442-5077, (8652)349428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svetmuzey</w:t>
      </w:r>
      <w:r>
        <w:rPr>
          <w:rFonts w:ascii="Times New Roman" w:hAnsi="Times New Roman"/>
          <w:b/>
          <w:sz w:val="24"/>
          <w:szCs w:val="24"/>
          <w:lang w:eastAsia="ru-RU"/>
        </w:rPr>
        <w:t>@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yandex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ru</w:t>
      </w:r>
    </w:p>
    <w:p>
      <w:pPr>
        <w:pStyle w:val="paragraph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07.07.2025 г. </w:t>
      </w:r>
    </w:p>
    <w:p>
      <w:pPr>
        <w:pStyle w:val="paragraph"/>
        <w:shd w:val="clear" w:color="auto" w:fill="FFFFFF"/>
        <w:spacing w:beforeAutospacing="0" w:before="0" w:afterAutospacing="0" w:after="0"/>
        <w:ind w:left="5103" w:right="510"/>
        <w:textAlignment w:val="baseline"/>
        <w:rPr>
          <w:rStyle w:val="normaltextru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Выполнение Плана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мероприятий по предупреждению и противодействию коррупции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государственном бюджетном учреждении культуры Ставропольского края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«Светлоградский историко-краеведческий музей имени И.М.Солодилова»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 1 полугодие 2024 год.</w:t>
      </w:r>
    </w:p>
    <w:tbl>
      <w:tblPr>
        <w:tblW w:w="9781" w:type="dxa"/>
        <w:jc w:val="left"/>
        <w:tblInd w:w="5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noHBand="0" w:noVBand="0" w:firstColumn="0" w:lastRow="0" w:lastColumn="0" w:firstRow="0"/>
      </w:tblPr>
      <w:tblGrid>
        <w:gridCol w:w="551"/>
        <w:gridCol w:w="4547"/>
        <w:gridCol w:w="4683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Выполнение/сроки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Организационно-правовые меры по противодействию коррупции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антикоррупционного законодательства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Рассмотрены изменения: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закона от 25.12.2008 г. № 273-ФЗ "О противодействии коррупции»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ст.  34. 93 закона  от 05.04.2013 г. № 44-ФЗ, «О контрактной системе в сфере закупок товаров, работ, услуг для обеспечения государственных и муниципальных нужд»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пакета документов по действующему законодательству необходимого для организации работы по предупреждению коррупционных проявлений ГБУК СК СИКМ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мероприятий по предупреждению и противодействию коррупции, согласно Приказа от 09.01.2025 г. № 2-ОД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09.01.2025 г.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локальных нормативных актов Музея в сфере противодействия коррупции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Актуализирован и зарегистрирован в УТСЗН Петровского муниципального округа Коллективный договор ГБУКСКСИКМ на 2025-2028 г.г.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 г.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культуры и нетерпимости к коррупции, создание внутри учреждения системы предупреждения и противодействия коррупции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 и информирование работников о положениях антикоррупционного законодательства.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Ежеквартально: 26.03.2025 г.  26.06.2025 г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изменениями Федерального Закона от 06.12.2011 N 402-ФЗ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 бухгалтерском учете".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правовой и кадровой работе музея.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беседа-ознакомление сотрудников с правилами, регламентирующими вопросы обмена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деловыми подарками и знаками делового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гостеприимства.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методических мероприятий, направленных на повышение нетерпимости к коррупционным правонарушениям в Музее (доведение информации об изменениях в законодательстве в сфере противодействия коррупции и рассмотрение других вопросов по антикоррупционной работе на общих собраниях трудового коллектива).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недопущением составления неофициальной отчетности и поддельных документов в Музее.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 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 г.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положений Кодекса профессиональной этики и служебного поведения работников ГБУК СК СИКМ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Прочтен и заострено внимание на отдельные пункты в Кодекса профессиональной этики служебного поведения работников ГБУК СК СИКМ.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24.06.2025г.</w:t>
            </w:r>
          </w:p>
        </w:tc>
      </w:tr>
      <w:tr>
        <w:trPr/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Меры по совершенствованию управления в целях предупреждения коррупции</w:t>
            </w:r>
          </w:p>
        </w:tc>
      </w:tr>
      <w:tr>
        <w:trPr>
          <w:trHeight w:val="816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 </w:t>
            </w:r>
            <w:hyperlink r:id="rId2" w:tgtFrame="Права и обязанности граждан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права граждан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на доступ к информации о деятельности учреждения, обеспечение открытости деятельности ГБУК СК СИКМ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 ст. 14  Федерального закона "Об обеспечении доступа к информации о деятельности государственных органов и органов местного самоуправления" от 09.02.2009 г.  № 8-ФЗ.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 г.</w:t>
            </w:r>
          </w:p>
        </w:tc>
      </w:tr>
      <w:tr>
        <w:trPr>
          <w:trHeight w:val="816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pacing w:lineRule="auto" w:line="240"/>
              <w:ind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Дополнение сайта учреждения в разделе «О противодействии коррупции» материалами по антикоррупционной тематике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актуализированной информации на сайте учреждения  </w:t>
            </w:r>
            <w:hyperlink r:id="rId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http://sikm.ru/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«О противодействии коррупции», а так же материалами по антикоррупционной тематике на официальных страницах.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Неукоснительное соблюдение в Музее норм и правил законодательства Российской Федерации в сфере госзакупок, Федеральный Закон от 05.04.2013 г. № 44-ФЗ, «О контрактной системе в сфере закупок товаров, работ, услуг для обеспечения государственных и муниципальных нужд», а также принятых локальных документов, регламентирующих работу контрактной службы и работу единой комиссии по осуществлению закупок, целью деятельности которых является в том числе предупреждение действий коррупционной направленности в сфере госзакупок.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Неукоснительное соблюдение в Музее норм и правил законодательства Российской Федерации в сфере госзакупок, а также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принятых локальных документов, регламентирующих работу контрактной службы и работу единой комиссии по осуществлению закупок, целью деятельности которых является в том числе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действий коррупционной направленности в сфере госзакупок.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избежание негативных последствий, вызванных коррупционными рисками вне учреждения, в рамках антикоррупционной деятельности является проверка контрагентов, с которыми взаимодействует учреждение при заключении контрактов в сфере госзакупок (ФЗ от 05.04.2013 г. № 44-ФЗ).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заключении договоров на выполнение работ оказание услуг.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распределением стимулирующих выплат и премий. Активизация работы по принятию решения о распределении средств стимулирующей части фонда </w:t>
            </w:r>
            <w:hyperlink r:id="rId4" w:tgtFrame="Оплата труда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оплаты труда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согласно Положения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выплатах стимулирующего характера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интенсивность и высокие результаты (эффективность) деятельности работникам ГБУК СК СИКМ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 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 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и соблюдением порядка оказания платных услуг и иной приносящей доход деятельности учреждения.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Осуществляется контроль: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 объемом и качеством оказываемых платных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правильность взимания платы за оказание платных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обеспечением граждан достаточной и достоверной информацией об оказываемых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платных услугах (размещен прейскурант цен на информационном стенде и сайте учреждения);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соблюдением требований законодательства предоставления платных услуг.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обязанностей и полномочий работников Музея, должностной статус которых в наибольшей мере подвержен риску коррупционных проявлений. Максимальная конкретизация полномочий работников Музея, изложенных в их должностных инструкциях.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Определены должности работников Музея, должностной статус которых в наибольшей мере подвержен риску коррупционных проявлений.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Принимаются меры по минимизации (устранению) коррупционного риска.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беседа о мерах ответственности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совершение коррупционных правонарушений.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19.06.2024 г.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директором Музея в установленном порядке сведений, установленных Федеральным законом от 25.12.2008 N 273-ФЗ "О противодействии коррупции" (о доходах, об имуществе и обязательствах имущественного характера)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Представлена директором Музея в установленном порядке сведений о своих доходах, об имуществе и обязательствах имущественного характера.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справке о дохах, расходах, об имуществе и обязательствах имущественного характера отражаются цифровые финансовые активы и цифровая валюта согласно законодательству Российской Федерации.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(февраль).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 контактных телефонов горячих линий,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Размещена и актуализируется информация на информационном стенде в учреждении и на официальных страницах: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-контактные телефоны горячих линий,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-мини-плакаты социальной рекламы, направленных на профилактику коррупционного поведения.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Постоянно.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Запланировано, в рамках реализации комплекса мероприятий, приуроченных к международному дню борьбы с коррупцией (09.12.2025 г.) провести собрание трудового коллектива по вопросам соблюдения антикоррупционного законодательства в музее за 2025 год и утвердить план мероприятий на 2026 год.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                                              </w:t>
      </w:r>
      <w:r>
        <w:rPr/>
        <w:drawing>
          <wp:inline distT="0" distB="0" distL="0" distR="0">
            <wp:extent cx="1197610" cy="55499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И.К. Андриенко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5b1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ormaltextrun" w:customStyle="1">
    <w:name w:val="normaltextrun"/>
    <w:uiPriority w:val="99"/>
    <w:qFormat/>
    <w:rsid w:val="00184189"/>
    <w:rPr>
      <w:rFonts w:cs="Times New Roman"/>
    </w:rPr>
  </w:style>
  <w:style w:type="character" w:styleId="eop" w:customStyle="1">
    <w:name w:val="eop"/>
    <w:uiPriority w:val="99"/>
    <w:qFormat/>
    <w:rsid w:val="00184189"/>
    <w:rPr>
      <w:rFonts w:cs="Times New Roman"/>
    </w:rPr>
  </w:style>
  <w:style w:type="character" w:styleId="contextualspellingandgrammarerror" w:customStyle="1">
    <w:name w:val="contextualspellingandgrammarerror"/>
    <w:uiPriority w:val="99"/>
    <w:qFormat/>
    <w:rsid w:val="00184189"/>
    <w:rPr>
      <w:rFonts w:cs="Times New Roman"/>
    </w:rPr>
  </w:style>
  <w:style w:type="character" w:styleId="spellingerror" w:customStyle="1">
    <w:name w:val="spellingerror"/>
    <w:uiPriority w:val="99"/>
    <w:qFormat/>
    <w:rsid w:val="00184189"/>
    <w:rPr>
      <w:rFonts w:cs="Times New Roman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331e89"/>
    <w:rPr>
      <w:rFonts w:ascii="Segoe UI" w:hAnsi="Segoe UI" w:cs="Segoe UI"/>
      <w:sz w:val="18"/>
      <w:szCs w:val="18"/>
    </w:rPr>
  </w:style>
  <w:style w:type="character" w:styleId="c8" w:customStyle="1">
    <w:name w:val="c8"/>
    <w:uiPriority w:val="99"/>
    <w:qFormat/>
    <w:rsid w:val="00ff36bf"/>
    <w:rPr>
      <w:rFonts w:cs="Times New Roman"/>
    </w:rPr>
  </w:style>
  <w:style w:type="character" w:styleId="c2" w:customStyle="1">
    <w:name w:val="c2"/>
    <w:uiPriority w:val="99"/>
    <w:qFormat/>
    <w:rsid w:val="00ff36bf"/>
    <w:rPr>
      <w:rFonts w:cs="Times New Roman"/>
    </w:rPr>
  </w:style>
  <w:style w:type="character" w:styleId="c4" w:customStyle="1">
    <w:name w:val="c4"/>
    <w:uiPriority w:val="99"/>
    <w:qFormat/>
    <w:rsid w:val="00ff36bf"/>
    <w:rPr>
      <w:rFonts w:cs="Times New Roman"/>
    </w:rPr>
  </w:style>
  <w:style w:type="character" w:styleId="c3" w:customStyle="1">
    <w:name w:val="c3"/>
    <w:uiPriority w:val="99"/>
    <w:qFormat/>
    <w:rsid w:val="00ff36bf"/>
    <w:rPr>
      <w:rFonts w:cs="Times New Roman"/>
    </w:rPr>
  </w:style>
  <w:style w:type="character" w:styleId="Hyperlink">
    <w:name w:val="Hyperlink"/>
    <w:uiPriority w:val="99"/>
    <w:rsid w:val="00ff36bf"/>
    <w:rPr>
      <w:rFonts w:cs="Times New Roman"/>
      <w:color w:val="0000FF"/>
      <w:u w:val="single"/>
    </w:rPr>
  </w:style>
  <w:style w:type="character" w:styleId="c4c10" w:customStyle="1">
    <w:name w:val="c4 c10"/>
    <w:uiPriority w:val="99"/>
    <w:qFormat/>
    <w:rsid w:val="00ff36bf"/>
    <w:rPr>
      <w:rFonts w:cs="Times New Roman"/>
    </w:rPr>
  </w:style>
  <w:style w:type="character" w:styleId="c6" w:customStyle="1">
    <w:name w:val="c6"/>
    <w:uiPriority w:val="99"/>
    <w:qFormat/>
    <w:rsid w:val="00ff36bf"/>
    <w:rPr>
      <w:rFonts w:cs="Times New Roman"/>
    </w:rPr>
  </w:style>
  <w:style w:type="character" w:styleId="c2c13" w:customStyle="1">
    <w:name w:val="c2 c13"/>
    <w:uiPriority w:val="99"/>
    <w:qFormat/>
    <w:rsid w:val="00ff36bf"/>
    <w:rPr>
      <w:rFonts w:cs="Times New Roman"/>
    </w:rPr>
  </w:style>
  <w:style w:type="character" w:styleId="nobr" w:customStyle="1">
    <w:name w:val="nobr"/>
    <w:uiPriority w:val="99"/>
    <w:qFormat/>
    <w:rsid w:val="008c5000"/>
    <w:rPr>
      <w:rFonts w:cs="Times New Roman"/>
    </w:rPr>
  </w:style>
  <w:style w:type="character" w:styleId="2" w:customStyle="1">
    <w:name w:val="Основной текст (2)_"/>
    <w:link w:val="21"/>
    <w:qFormat/>
    <w:rsid w:val="00670f81"/>
    <w:rPr>
      <w:rFonts w:ascii="Times New Roman" w:hAnsi="Times New Roman" w:eastAsia="Times New Roman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uiPriority w:val="99"/>
    <w:qFormat/>
    <w:rsid w:val="0018418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qFormat/>
    <w:rsid w:val="00331e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uiPriority w:val="99"/>
    <w:qFormat/>
    <w:rsid w:val="009e4d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5" w:customStyle="1">
    <w:name w:val="c5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4" w:customStyle="1">
    <w:name w:val="c14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0" w:customStyle="1">
    <w:name w:val="c0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7" w:customStyle="1">
    <w:name w:val="c17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15" w:customStyle="1">
    <w:name w:val="c15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7" w:customStyle="1">
    <w:name w:val="c7"/>
    <w:basedOn w:val="Normal"/>
    <w:uiPriority w:val="99"/>
    <w:qFormat/>
    <w:rsid w:val="00ff36bf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e37408"/>
    <w:pPr>
      <w:spacing w:lineRule="auto" w:line="240" w:before="30" w:after="30"/>
    </w:pPr>
    <w:rPr>
      <w:rFonts w:ascii="Times New Roman" w:hAnsi="Times New Roman"/>
      <w:sz w:val="20"/>
      <w:szCs w:val="20"/>
      <w:lang w:eastAsia="ru-RU"/>
    </w:rPr>
  </w:style>
  <w:style w:type="paragraph" w:styleId="21" w:customStyle="1">
    <w:name w:val="Основной текст (2)"/>
    <w:basedOn w:val="Normal"/>
    <w:link w:val="2"/>
    <w:qFormat/>
    <w:rsid w:val="00670f81"/>
    <w:pPr>
      <w:widowControl w:val="false"/>
      <w:shd w:val="clear" w:color="auto" w:fill="FFFFFF"/>
      <w:spacing w:lineRule="atLeast" w:line="0" w:before="0" w:after="0"/>
      <w:ind w:hanging="360"/>
    </w:pPr>
    <w:rPr>
      <w:rFonts w:ascii="Times New Roman" w:hAnsi="Times New Roman" w:eastAsia="Times New Roman"/>
      <w:sz w:val="20"/>
      <w:szCs w:val="20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0279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prava_i_obyazannosti_grazhdan/" TargetMode="External"/><Relationship Id="rId3" Type="http://schemas.openxmlformats.org/officeDocument/2006/relationships/hyperlink" Target="http://sikm.ru/" TargetMode="External"/><Relationship Id="rId4" Type="http://schemas.openxmlformats.org/officeDocument/2006/relationships/hyperlink" Target="https://pandia.ru/text/category/oplata_truda/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Application>LibreOffice/24.8.4.1$Linux_X86_64 LibreOffice_project/480$Build-1</Application>
  <AppVersion>15.0000</AppVersion>
  <Pages>4</Pages>
  <Words>905</Words>
  <Characters>6843</Characters>
  <CharactersWithSpaces>7718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2018-10-18T06:00:00Z</dcterms:created>
  <dc:creator>Владелец</dc:creator>
  <dc:description/>
  <dc:language>ru-RU</dc:language>
  <cp:lastModifiedBy/>
  <cp:lastPrinted>2021-05-18T07:10:00Z</cp:lastPrinted>
  <dcterms:modified xsi:type="dcterms:W3CDTF">2025-12-03T15:10:27Z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